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866" w:rsidRDefault="00B7386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40"/>
        <w:gridCol w:w="1540"/>
        <w:gridCol w:w="1451"/>
        <w:gridCol w:w="1240"/>
        <w:gridCol w:w="1280"/>
        <w:gridCol w:w="1240"/>
        <w:gridCol w:w="1240"/>
        <w:gridCol w:w="1080"/>
        <w:gridCol w:w="1660"/>
      </w:tblGrid>
      <w:tr w:rsidR="007B6E8C" w:rsidRPr="007B6E8C" w:rsidTr="007B6E8C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ALLEGATO 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6E8C" w:rsidRPr="007B6E8C" w:rsidRDefault="007B6E8C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6E8C" w:rsidRPr="007B6E8C" w:rsidRDefault="007B6E8C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6E8C" w:rsidRPr="007B6E8C" w:rsidRDefault="007B6E8C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6E8C" w:rsidRPr="007B6E8C" w:rsidRDefault="007B6E8C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6E8C" w:rsidRPr="007B6E8C" w:rsidRDefault="007B6E8C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6E8C" w:rsidRPr="007B6E8C" w:rsidRDefault="007B6E8C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6E8C" w:rsidRPr="007B6E8C" w:rsidRDefault="007B6E8C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6E8C" w:rsidRPr="007B6E8C" w:rsidRDefault="007B6E8C"/>
        </w:tc>
      </w:tr>
      <w:tr w:rsidR="007B6E8C" w:rsidRPr="007B6E8C" w:rsidTr="007B6E8C">
        <w:trPr>
          <w:trHeight w:val="300"/>
        </w:trPr>
        <w:tc>
          <w:tcPr>
            <w:tcW w:w="8580" w:type="dxa"/>
            <w:gridSpan w:val="6"/>
            <w:tcBorders>
              <w:top w:val="nil"/>
              <w:left w:val="nil"/>
              <w:right w:val="nil"/>
            </w:tcBorders>
            <w:hideMark/>
          </w:tcPr>
          <w:p w:rsidR="007B6E8C" w:rsidRPr="007B6E8C" w:rsidRDefault="007B6E8C" w:rsidP="007B6E8C"/>
        </w:tc>
        <w:tc>
          <w:tcPr>
            <w:tcW w:w="1240" w:type="dxa"/>
            <w:tcBorders>
              <w:top w:val="nil"/>
              <w:left w:val="nil"/>
              <w:right w:val="nil"/>
            </w:tcBorders>
            <w:noWrap/>
            <w:hideMark/>
          </w:tcPr>
          <w:p w:rsidR="007B6E8C" w:rsidRPr="007B6E8C" w:rsidRDefault="007B6E8C"/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hideMark/>
          </w:tcPr>
          <w:p w:rsidR="007B6E8C" w:rsidRPr="007B6E8C" w:rsidRDefault="007B6E8C"/>
        </w:tc>
        <w:tc>
          <w:tcPr>
            <w:tcW w:w="1660" w:type="dxa"/>
            <w:tcBorders>
              <w:top w:val="nil"/>
              <w:left w:val="nil"/>
              <w:right w:val="nil"/>
            </w:tcBorders>
            <w:noWrap/>
            <w:hideMark/>
          </w:tcPr>
          <w:p w:rsidR="007B6E8C" w:rsidRPr="007B6E8C" w:rsidRDefault="007B6E8C"/>
        </w:tc>
      </w:tr>
      <w:tr w:rsidR="007B6E8C" w:rsidRPr="007B6E8C" w:rsidTr="007B6E8C">
        <w:trPr>
          <w:trHeight w:val="705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 xml:space="preserve">regione </w:t>
            </w:r>
          </w:p>
        </w:tc>
        <w:tc>
          <w:tcPr>
            <w:tcW w:w="1540" w:type="dxa"/>
            <w:hideMark/>
          </w:tcPr>
          <w:p w:rsidR="007B6E8C" w:rsidRPr="007B6E8C" w:rsidRDefault="007B6E8C" w:rsidP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 xml:space="preserve">IV anno </w:t>
            </w:r>
            <w:proofErr w:type="spellStart"/>
            <w:r w:rsidRPr="007B6E8C">
              <w:rPr>
                <w:b/>
                <w:bCs/>
              </w:rPr>
              <w:t>ist</w:t>
            </w:r>
            <w:proofErr w:type="spellEnd"/>
            <w:r w:rsidRPr="007B6E8C">
              <w:rPr>
                <w:b/>
                <w:bCs/>
              </w:rPr>
              <w:t>. professionale</w:t>
            </w:r>
          </w:p>
        </w:tc>
        <w:tc>
          <w:tcPr>
            <w:tcW w:w="1440" w:type="dxa"/>
            <w:hideMark/>
          </w:tcPr>
          <w:p w:rsidR="007B6E8C" w:rsidRPr="007B6E8C" w:rsidRDefault="007B6E8C" w:rsidP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 xml:space="preserve">V anno </w:t>
            </w:r>
            <w:proofErr w:type="spellStart"/>
            <w:r w:rsidRPr="007B6E8C">
              <w:rPr>
                <w:b/>
                <w:bCs/>
              </w:rPr>
              <w:t>ist</w:t>
            </w:r>
            <w:proofErr w:type="spellEnd"/>
            <w:r w:rsidRPr="007B6E8C">
              <w:rPr>
                <w:b/>
                <w:bCs/>
              </w:rPr>
              <w:t>. professionale</w:t>
            </w:r>
          </w:p>
        </w:tc>
        <w:tc>
          <w:tcPr>
            <w:tcW w:w="1240" w:type="dxa"/>
            <w:hideMark/>
          </w:tcPr>
          <w:p w:rsidR="007B6E8C" w:rsidRPr="007B6E8C" w:rsidRDefault="007B6E8C" w:rsidP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 xml:space="preserve">IV anno </w:t>
            </w:r>
            <w:proofErr w:type="spellStart"/>
            <w:r w:rsidRPr="007B6E8C">
              <w:rPr>
                <w:b/>
                <w:bCs/>
              </w:rPr>
              <w:t>ist</w:t>
            </w:r>
            <w:proofErr w:type="spellEnd"/>
            <w:r w:rsidRPr="007B6E8C">
              <w:rPr>
                <w:b/>
                <w:bCs/>
              </w:rPr>
              <w:t>. tecnico</w:t>
            </w:r>
          </w:p>
        </w:tc>
        <w:tc>
          <w:tcPr>
            <w:tcW w:w="1280" w:type="dxa"/>
            <w:hideMark/>
          </w:tcPr>
          <w:p w:rsidR="007B6E8C" w:rsidRPr="007B6E8C" w:rsidRDefault="007B6E8C" w:rsidP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 xml:space="preserve">V anno </w:t>
            </w:r>
            <w:proofErr w:type="spellStart"/>
            <w:r w:rsidRPr="007B6E8C">
              <w:rPr>
                <w:b/>
                <w:bCs/>
              </w:rPr>
              <w:t>ist</w:t>
            </w:r>
            <w:proofErr w:type="spellEnd"/>
            <w:r w:rsidRPr="007B6E8C">
              <w:rPr>
                <w:b/>
                <w:bCs/>
              </w:rPr>
              <w:t>. tecnico</w:t>
            </w:r>
          </w:p>
        </w:tc>
        <w:tc>
          <w:tcPr>
            <w:tcW w:w="1240" w:type="dxa"/>
            <w:hideMark/>
          </w:tcPr>
          <w:p w:rsidR="007B6E8C" w:rsidRPr="007B6E8C" w:rsidRDefault="007B6E8C" w:rsidP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totale per regione</w:t>
            </w:r>
          </w:p>
        </w:tc>
        <w:tc>
          <w:tcPr>
            <w:tcW w:w="1240" w:type="dxa"/>
            <w:hideMark/>
          </w:tcPr>
          <w:p w:rsidR="007B6E8C" w:rsidRPr="007B6E8C" w:rsidRDefault="007B6E8C" w:rsidP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incidenza %</w:t>
            </w:r>
          </w:p>
        </w:tc>
        <w:tc>
          <w:tcPr>
            <w:tcW w:w="1080" w:type="dxa"/>
            <w:hideMark/>
          </w:tcPr>
          <w:p w:rsidR="007B6E8C" w:rsidRPr="007B6E8C" w:rsidRDefault="007B6E8C" w:rsidP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n. progetti</w:t>
            </w:r>
          </w:p>
        </w:tc>
        <w:tc>
          <w:tcPr>
            <w:tcW w:w="1660" w:type="dxa"/>
            <w:hideMark/>
          </w:tcPr>
          <w:p w:rsidR="007B6E8C" w:rsidRPr="007B6E8C" w:rsidRDefault="007B6E8C" w:rsidP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somme ripartite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Basilicata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  1.447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   1.207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   1.741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  1.662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   6.057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1,60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1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52.632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Calabria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  4.003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   3.422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   6.657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  6.176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20.258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5,36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2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105.263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Campania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12.414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10.302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17.015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15.250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54.981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14,54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2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105.263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Emilia Romagna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  7.808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   6.921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11.535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11.037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37.301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9,87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2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105.263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Friuli Venezia Giulia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  1.704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   1.586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   3.352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  2.971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   9.613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2,54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1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52.632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Lazio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  8.233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   7.395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13.831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12.860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42.319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11,19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2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105.263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Lombardia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13.345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11.783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26.002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23.726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74.856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19,80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2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105.263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Sardegna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  2.576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   2.036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   4.725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  4.150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13.487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3,57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1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52.632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Sicilia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  9.413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   7.883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14.098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12.612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44.006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11,64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2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105.263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Toscana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  6.497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   5.605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   9.813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  8.884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30.799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8,15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2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105.263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Veneto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  8.807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   7.807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14.348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  13.417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  44.379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 w:rsidP="007B6E8C">
            <w:r w:rsidRPr="007B6E8C">
              <w:t>11,74</w:t>
            </w:r>
          </w:p>
        </w:tc>
        <w:tc>
          <w:tcPr>
            <w:tcW w:w="1080" w:type="dxa"/>
            <w:noWrap/>
            <w:hideMark/>
          </w:tcPr>
          <w:p w:rsidR="007B6E8C" w:rsidRPr="007B6E8C" w:rsidRDefault="007B6E8C" w:rsidP="007B6E8C">
            <w:r w:rsidRPr="007B6E8C">
              <w:t>2</w:t>
            </w:r>
          </w:p>
        </w:tc>
        <w:tc>
          <w:tcPr>
            <w:tcW w:w="1660" w:type="dxa"/>
            <w:noWrap/>
            <w:hideMark/>
          </w:tcPr>
          <w:p w:rsidR="007B6E8C" w:rsidRPr="007B6E8C" w:rsidRDefault="007B6E8C" w:rsidP="007B6E8C">
            <w:r w:rsidRPr="007B6E8C">
              <w:t>105.263</w:t>
            </w:r>
          </w:p>
        </w:tc>
      </w:tr>
      <w:tr w:rsidR="007B6E8C" w:rsidRPr="007B6E8C" w:rsidTr="007B6E8C">
        <w:trPr>
          <w:trHeight w:val="300"/>
        </w:trPr>
        <w:tc>
          <w:tcPr>
            <w:tcW w:w="1840" w:type="dxa"/>
            <w:noWrap/>
            <w:hideMark/>
          </w:tcPr>
          <w:p w:rsidR="007B6E8C" w:rsidRPr="007B6E8C" w:rsidRDefault="007B6E8C">
            <w:pPr>
              <w:rPr>
                <w:b/>
                <w:bCs/>
              </w:rPr>
            </w:pPr>
            <w:r w:rsidRPr="007B6E8C">
              <w:rPr>
                <w:b/>
                <w:bCs/>
              </w:rPr>
              <w:t>Totale</w:t>
            </w:r>
          </w:p>
        </w:tc>
        <w:tc>
          <w:tcPr>
            <w:tcW w:w="1540" w:type="dxa"/>
            <w:noWrap/>
            <w:hideMark/>
          </w:tcPr>
          <w:p w:rsidR="007B6E8C" w:rsidRPr="007B6E8C" w:rsidRDefault="007B6E8C">
            <w:r w:rsidRPr="007B6E8C">
              <w:t xml:space="preserve">                 76.247 </w:t>
            </w:r>
          </w:p>
        </w:tc>
        <w:tc>
          <w:tcPr>
            <w:tcW w:w="1440" w:type="dxa"/>
            <w:noWrap/>
            <w:hideMark/>
          </w:tcPr>
          <w:p w:rsidR="007B6E8C" w:rsidRPr="007B6E8C" w:rsidRDefault="007B6E8C">
            <w:r w:rsidRPr="007B6E8C">
              <w:t xml:space="preserve">              65.947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123.117 </w:t>
            </w:r>
          </w:p>
        </w:tc>
        <w:tc>
          <w:tcPr>
            <w:tcW w:w="1280" w:type="dxa"/>
            <w:noWrap/>
            <w:hideMark/>
          </w:tcPr>
          <w:p w:rsidR="007B6E8C" w:rsidRPr="007B6E8C" w:rsidRDefault="007B6E8C">
            <w:r w:rsidRPr="007B6E8C">
              <w:t xml:space="preserve">         112.745 </w:t>
            </w:r>
          </w:p>
        </w:tc>
        <w:tc>
          <w:tcPr>
            <w:tcW w:w="1240" w:type="dxa"/>
            <w:noWrap/>
            <w:hideMark/>
          </w:tcPr>
          <w:p w:rsidR="007B6E8C" w:rsidRPr="007B6E8C" w:rsidRDefault="007B6E8C">
            <w:r w:rsidRPr="007B6E8C">
              <w:t xml:space="preserve">        378.056 </w:t>
            </w:r>
          </w:p>
        </w:tc>
        <w:tc>
          <w:tcPr>
            <w:tcW w:w="1240" w:type="dxa"/>
            <w:noWrap/>
            <w:hideMark/>
          </w:tcPr>
          <w:p w:rsidR="007B6E8C" w:rsidRDefault="007B6E8C" w:rsidP="007B6E8C"/>
          <w:p w:rsidR="007B6E8C" w:rsidRPr="007B6E8C" w:rsidRDefault="007B6E8C" w:rsidP="007B6E8C">
            <w:r w:rsidRPr="007B6E8C">
              <w:t>100,00</w:t>
            </w:r>
          </w:p>
        </w:tc>
        <w:tc>
          <w:tcPr>
            <w:tcW w:w="1080" w:type="dxa"/>
            <w:noWrap/>
            <w:hideMark/>
          </w:tcPr>
          <w:p w:rsidR="007B6E8C" w:rsidRDefault="007B6E8C" w:rsidP="007B6E8C"/>
          <w:p w:rsidR="007B6E8C" w:rsidRPr="007B6E8C" w:rsidRDefault="007B6E8C" w:rsidP="007B6E8C">
            <w:r>
              <w:t>19,00</w:t>
            </w:r>
            <w:bookmarkStart w:id="0" w:name="_GoBack"/>
            <w:bookmarkEnd w:id="0"/>
          </w:p>
        </w:tc>
        <w:tc>
          <w:tcPr>
            <w:tcW w:w="1660" w:type="dxa"/>
            <w:noWrap/>
            <w:hideMark/>
          </w:tcPr>
          <w:p w:rsidR="007B6E8C" w:rsidRDefault="007B6E8C" w:rsidP="007B6E8C"/>
          <w:p w:rsidR="007B6E8C" w:rsidRPr="007B6E8C" w:rsidRDefault="007B6E8C" w:rsidP="007B6E8C">
            <w:r w:rsidRPr="007B6E8C">
              <w:t>1.000.000</w:t>
            </w:r>
          </w:p>
        </w:tc>
      </w:tr>
    </w:tbl>
    <w:p w:rsidR="007B6E8C" w:rsidRDefault="007B6E8C"/>
    <w:sectPr w:rsidR="007B6E8C" w:rsidSect="007B6E8C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8C"/>
    <w:rsid w:val="007B6E8C"/>
    <w:rsid w:val="00B7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B6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B6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2016-10-20T11:29:00Z</dcterms:created>
  <dcterms:modified xsi:type="dcterms:W3CDTF">2016-10-20T11:34:00Z</dcterms:modified>
</cp:coreProperties>
</file>