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A9" w:rsidRDefault="00EB4BA9" w:rsidP="006311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6CF" w:rsidRPr="00DD5C8C" w:rsidRDefault="00B956CF" w:rsidP="006311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857"/>
      </w:tblGrid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legislativo 16 aprile 1994, n.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297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recante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pprovazione del testo unico delle disposizioni legislative vigenti in materia di istruzione, relative alle scuole di ogni ordine e grado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 del Presidente della Repubblica 27 gennaio 1998, n. 25,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concernente r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egolamento recante disciplina dei procedimenti relativi allo sviluppo ed alla programmazione del sistema universitario, nonché ai comitati regionali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coordinamento, a norma dell'articolo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20, comma 8, lettere </w:t>
            </w:r>
            <w:r w:rsidRPr="00C20B48">
              <w:rPr>
                <w:rFonts w:ascii="Times New Roman" w:hAnsi="Times New Roman" w:cs="Times New Roman"/>
                <w:i/>
                <w:sz w:val="24"/>
                <w:szCs w:val="24"/>
              </w:rPr>
              <w:t>a)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Pr="00C20B48">
              <w:rPr>
                <w:rFonts w:ascii="Times New Roman" w:hAnsi="Times New Roman" w:cs="Times New Roman"/>
                <w:i/>
                <w:sz w:val="24"/>
                <w:szCs w:val="24"/>
              </w:rPr>
              <w:t>b)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, della legge 15 marzo 1997, n.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e in particolare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l’articolo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comma 3, ai sensi del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quale i comitati regionali di coordinamento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provvedono al coordinamento delle iniziative in materia di programmazione degli accessi all’istruzione universitaria, di orientamento, di diritto allo studio, di alta formazione professionale e di formazione continua e ricorrente, di utilizzazione delle strutture universitarie, nonché al coordinamento con il sistema scolastico, con le istituzioni formative regionali, con le istanze economiche e sociali del territorio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decreto-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legge 12 settembre 2013, n. 104,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convertito, con modificazioni, 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dall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legge 8 novembre 2013, n. 128, recante m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isure urgenti in materia di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struzione, università e ricerca,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e in particolare l’articolo 15, comma 3</w:t>
            </w:r>
            <w:r w:rsidRPr="00205EDF">
              <w:rPr>
                <w:rFonts w:ascii="Times New Roman" w:hAnsi="Times New Roman" w:cs="Times New Roman"/>
                <w:i/>
                <w:sz w:val="24"/>
                <w:szCs w:val="24"/>
              </w:rPr>
              <w:t>-bis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, che dispone l’unificazione delle aree disciplinari per il sostegno;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 del Ministro dell’istruzione, dell’università e della ricerca 10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ettembre 2010 n. 249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 xml:space="preserve"> (di seguito, d.m. n. 249 del 2010),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recante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regolamento concernente la definizione della disciplina dei requisiti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delle modalità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della formazione iniziale degli insegnanti della scuola dell’infanzia, della scuola primaria e della scuola secondaria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 primo e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secondo grado, ai sensi dell’articolo 2, comma 416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della legge 24 dicembre 2007, n.244;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 del Ministro dell’istruzione, dell’università e della ricerca 4 aprile 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n. 139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 xml:space="preserve"> (di seguito, d.m. n. 139 del 2011)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385A">
              <w:rPr>
                <w:rFonts w:ascii="Times New Roman" w:hAnsi="Times New Roman" w:cs="Times New Roman"/>
                <w:sz w:val="24"/>
                <w:szCs w:val="24"/>
              </w:rPr>
              <w:t>relativo all’attivazione dei corsi per la formazione iniziale degli insegnanti in attuazione del decreto del Ministro dell’istruzione, dell’università e della ricerca 10 settembre 2010, n. 249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il decreto del Ministro dell’istruzione, dell’università e della ricerca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30 settembre 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recante c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riteri e modalità per lo svolgimento dei corsi di formazione per il conseguimento della specializzazione per le attività di sostegno, ai sensi degli articoli 5 e 13 del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creto 10 settembre 2010, n. 249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d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ecreto del Ministro dell’istruzione, dell’università e della ricerca 30 novembre 2012, n. 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recante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definizione delle modalità di accreditamento delle sedi di tirocinio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ai sensi dell’art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icolo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12, comma 3, del decreto del Ministro dell’istruzione, dell’università e della ricerca 10 settembre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n. 249;</w:t>
            </w:r>
          </w:p>
          <w:p w:rsidR="00B956CF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parere del Consiglio di Stato, Sezione II, del 5 giugno 2013 su un ricorso straordinario in merito al valore abilitante all’insegnamento dei titoli di diploma magistrale, secondo il quale tra i “docenti in possesso dell’abilitazione all’insegnamento” devono intendersi compresi anche coloro i quali “abbiano conseguito entro l’anno scolastico 2001/2002 il titolo di studio attribuito dagli istituti magistrali al termine di corsi triennali e quinquennali sperimentali di scuola magistrale e dei corsi quadriennali e quinquennali sperimentali di istituto magistrale (per la scuola dell’infanzia) o al termine dei corsi quadriennali e quinquennali sperimentali dell’ istituto magistrale (per la scuola primaria)”;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 del Ministro dell’istruzione, dell’università e della ricerca 7 maggio 2014, n. 312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 xml:space="preserve"> (di seguito, d.m. n. 312 del 2014)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, concernente l’indizione del II ciclo dei percorsi di tirocinio formativo attivo e di specializzazione sul sostegno e il numero di posti disponibili per le immatricolazioni ai predetti percorsi, come rettificato, agli allegati A e B, dal decreto del Ministro dell’istruzione, dell’università e della ricerca 11 giugno 2014, n. 376;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il decreto del Ministro dell’istruzione, dell’università e della ricerca 20 giugno 2014, n. 487, concernente l’istituzione e l’attivazione dei percorsi di tirocinio formativo attivo a deco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rrere dall’anno accademico 2014-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2015;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RITENUTO</w:t>
            </w:r>
          </w:p>
        </w:tc>
        <w:tc>
          <w:tcPr>
            <w:tcW w:w="7857" w:type="dxa"/>
          </w:tcPr>
          <w:p w:rsidR="00B956CF" w:rsidRPr="00C20B48" w:rsidRDefault="00B956CF" w:rsidP="002511F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opportuno, ai fini del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l’emanazione del decreto di autorizzazione di cui all’articolo 3, comma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del citato 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 xml:space="preserve">decreto del Ministro dell’istruzione, dell’università e della ricerca 30 settembre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2011, procedere in analogia con quanto disposto all’articolo 2, comma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decreto del Ministro dell’istruzione, dell’università e della ricerca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n. 487 del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2014;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>RAVVISATA</w:t>
            </w:r>
          </w:p>
        </w:tc>
        <w:tc>
          <w:tcPr>
            <w:tcW w:w="7857" w:type="dxa"/>
          </w:tcPr>
          <w:p w:rsidR="00B956CF" w:rsidRPr="00C20B48" w:rsidRDefault="00B956CF" w:rsidP="0040544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necessità di ribadire, anche per 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i percorsi di specializzazione sul sostegno, l’accesso in soprannumero ai soggetti che, in occasione del I ciclo, siano risultati 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>idonei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5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 non </w:t>
            </w:r>
            <w:r w:rsidRPr="00DD5C8C">
              <w:rPr>
                <w:rFonts w:ascii="Times New Roman" w:hAnsi="Times New Roman" w:cs="Times New Roman"/>
                <w:sz w:val="24"/>
                <w:szCs w:val="24"/>
              </w:rPr>
              <w:t>collocatisi in posizione utile ai fini della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frequenza del relativo percorso, 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>nonché ai soggetti che hanno sosp</w:t>
            </w:r>
            <w:r w:rsidR="00405449">
              <w:rPr>
                <w:rFonts w:ascii="Times New Roman" w:hAnsi="Times New Roman" w:cs="Times New Roman"/>
                <w:sz w:val="24"/>
                <w:szCs w:val="24"/>
              </w:rPr>
              <w:t>eso la frequenza del I ciclo dei percorsi di specializzazione sul sostegno</w:t>
            </w:r>
            <w:bookmarkStart w:id="0" w:name="_GoBack"/>
            <w:bookmarkEnd w:id="0"/>
            <w:r w:rsidR="002511F2">
              <w:rPr>
                <w:rFonts w:ascii="Times New Roman" w:hAnsi="Times New Roman" w:cs="Times New Roman"/>
                <w:sz w:val="24"/>
                <w:szCs w:val="24"/>
              </w:rPr>
              <w:t xml:space="preserve"> per cause sopravvenute e comunque a loro non imputabili,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sulla base di quanto previsto dall’articolo </w:t>
            </w:r>
            <w:r w:rsidR="002511F2">
              <w:rPr>
                <w:rFonts w:ascii="Times New Roman" w:hAnsi="Times New Roman" w:cs="Times New Roman"/>
                <w:sz w:val="24"/>
                <w:szCs w:val="24"/>
              </w:rPr>
              <w:t>3, commi 6 e 7, del citato d.m. n. 312 del 2014</w:t>
            </w:r>
            <w:r w:rsidRPr="00C20B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B956CF" w:rsidRPr="00DD5C8C" w:rsidTr="006D6BA5">
        <w:tc>
          <w:tcPr>
            <w:tcW w:w="199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7" w:type="dxa"/>
          </w:tcPr>
          <w:p w:rsidR="00B956CF" w:rsidRPr="00C20B48" w:rsidRDefault="00B956CF" w:rsidP="00FD2BC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1F2" w:rsidRDefault="002511F2" w:rsidP="006311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108" w:rsidRPr="00DD5C8C" w:rsidRDefault="00631108" w:rsidP="00631108">
      <w:pPr>
        <w:jc w:val="center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D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E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C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R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E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T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A</w:t>
      </w:r>
    </w:p>
    <w:p w:rsidR="00631108" w:rsidRPr="00DD5C8C" w:rsidRDefault="00631108" w:rsidP="00631108">
      <w:pPr>
        <w:jc w:val="center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Art. 1</w:t>
      </w:r>
    </w:p>
    <w:p w:rsidR="000C6CD7" w:rsidRPr="00DD5C8C" w:rsidRDefault="000C6CD7" w:rsidP="0063110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5C8C">
        <w:rPr>
          <w:rFonts w:ascii="Times New Roman" w:hAnsi="Times New Roman" w:cs="Times New Roman"/>
          <w:i/>
          <w:sz w:val="24"/>
          <w:szCs w:val="24"/>
        </w:rPr>
        <w:t>(</w:t>
      </w:r>
      <w:r w:rsidR="009D7116" w:rsidRPr="00DD5C8C">
        <w:rPr>
          <w:rFonts w:ascii="Times New Roman" w:hAnsi="Times New Roman" w:cs="Times New Roman"/>
          <w:i/>
          <w:sz w:val="24"/>
          <w:szCs w:val="24"/>
        </w:rPr>
        <w:t>Procedura per la definizione dell’offerta formativa regionale dei percorsi di specializzazione per le attività di sostegno)</w:t>
      </w:r>
    </w:p>
    <w:p w:rsidR="00210822" w:rsidRPr="00DD5C8C" w:rsidRDefault="000C6CD7" w:rsidP="002511F2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lastRenderedPageBreak/>
        <w:t xml:space="preserve">Le offerte formative presentate per i percorsi di specializzazione sul sostegno 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di cui all’articolo 13 del decreto del ministro dell’istruzione, dell’università e della ricerca 10 settembre 2010, n. 249, redatti sulla base dei criteri di cui al decreto dell’istruzione, dell’università e della ricerca 30 settembre 2011, </w:t>
      </w:r>
      <w:r w:rsidRPr="00DD5C8C">
        <w:rPr>
          <w:rFonts w:ascii="Times New Roman" w:hAnsi="Times New Roman" w:cs="Times New Roman"/>
          <w:sz w:val="24"/>
          <w:szCs w:val="24"/>
        </w:rPr>
        <w:t xml:space="preserve">sono 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trasmesse </w:t>
      </w:r>
      <w:r w:rsidR="00210822" w:rsidRPr="00DD5C8C">
        <w:rPr>
          <w:rFonts w:ascii="Times New Roman" w:hAnsi="Times New Roman" w:cs="Times New Roman"/>
          <w:sz w:val="24"/>
          <w:szCs w:val="24"/>
        </w:rPr>
        <w:t xml:space="preserve">dalla competente Direzione generale alla Direzione generale per il personale scolastico 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per il successivo inoltro </w:t>
      </w:r>
      <w:r w:rsidR="00210822" w:rsidRPr="00DD5C8C">
        <w:rPr>
          <w:rFonts w:ascii="Times New Roman" w:hAnsi="Times New Roman" w:cs="Times New Roman"/>
          <w:sz w:val="24"/>
          <w:szCs w:val="24"/>
        </w:rPr>
        <w:t>agli Uffici scolastici regionali (di seguito</w:t>
      </w:r>
      <w:r w:rsidR="00776BCD" w:rsidRPr="00DD5C8C">
        <w:rPr>
          <w:rFonts w:ascii="Times New Roman" w:hAnsi="Times New Roman" w:cs="Times New Roman"/>
          <w:sz w:val="24"/>
          <w:szCs w:val="24"/>
        </w:rPr>
        <w:t>,</w:t>
      </w:r>
      <w:r w:rsidR="00210822" w:rsidRPr="00DD5C8C">
        <w:rPr>
          <w:rFonts w:ascii="Times New Roman" w:hAnsi="Times New Roman" w:cs="Times New Roman"/>
          <w:sz w:val="24"/>
          <w:szCs w:val="24"/>
        </w:rPr>
        <w:t xml:space="preserve"> USR). </w:t>
      </w:r>
    </w:p>
    <w:p w:rsidR="00631108" w:rsidRPr="00DD5C8C" w:rsidRDefault="00210822" w:rsidP="002511F2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I dirigenti p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reposti agli USR provvedono all’individuazione </w:t>
      </w:r>
      <w:r w:rsidRPr="00DD5C8C">
        <w:rPr>
          <w:rFonts w:ascii="Times New Roman" w:hAnsi="Times New Roman" w:cs="Times New Roman"/>
          <w:sz w:val="24"/>
          <w:szCs w:val="24"/>
        </w:rPr>
        <w:t xml:space="preserve">dei contingenti 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distinti </w:t>
      </w:r>
      <w:r w:rsidRPr="00DD5C8C">
        <w:rPr>
          <w:rFonts w:ascii="Times New Roman" w:hAnsi="Times New Roman" w:cs="Times New Roman"/>
          <w:sz w:val="24"/>
          <w:szCs w:val="24"/>
        </w:rPr>
        <w:t>tra i vari gradi di scuola, tenendo conto delle necessità di personale specializzato</w:t>
      </w:r>
      <w:r w:rsidR="00631108" w:rsidRPr="00DD5C8C">
        <w:rPr>
          <w:rFonts w:ascii="Times New Roman" w:hAnsi="Times New Roman" w:cs="Times New Roman"/>
          <w:sz w:val="24"/>
          <w:szCs w:val="24"/>
        </w:rPr>
        <w:t>.</w:t>
      </w:r>
    </w:p>
    <w:p w:rsidR="00776BCD" w:rsidRPr="00DD5C8C" w:rsidRDefault="00776BCD" w:rsidP="002511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108" w:rsidRPr="00DD5C8C" w:rsidRDefault="00631108" w:rsidP="002511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Art.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</w:t>
      </w:r>
      <w:r w:rsidRPr="00DD5C8C">
        <w:rPr>
          <w:rFonts w:ascii="Times New Roman" w:hAnsi="Times New Roman" w:cs="Times New Roman"/>
          <w:sz w:val="24"/>
          <w:szCs w:val="24"/>
        </w:rPr>
        <w:t>2</w:t>
      </w:r>
    </w:p>
    <w:p w:rsidR="009D7116" w:rsidRPr="00DD5C8C" w:rsidRDefault="009D7116" w:rsidP="002511F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5C8C">
        <w:rPr>
          <w:rFonts w:ascii="Times New Roman" w:hAnsi="Times New Roman" w:cs="Times New Roman"/>
          <w:i/>
          <w:sz w:val="24"/>
          <w:szCs w:val="24"/>
        </w:rPr>
        <w:t>(Istituzione</w:t>
      </w:r>
      <w:r w:rsidR="00776BCD" w:rsidRPr="00DD5C8C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DD5C8C">
        <w:rPr>
          <w:rFonts w:ascii="Times New Roman" w:hAnsi="Times New Roman" w:cs="Times New Roman"/>
          <w:i/>
          <w:sz w:val="24"/>
          <w:szCs w:val="24"/>
        </w:rPr>
        <w:t xml:space="preserve"> attivazione dei percorsi di specializzazione per le attività di sostegno) </w:t>
      </w:r>
    </w:p>
    <w:p w:rsidR="00776BCD" w:rsidRPr="00DD5C8C" w:rsidRDefault="00776BCD" w:rsidP="002511F2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I corsi sono istituiti e attivati  dalle Università, anche in modalità interateneo. La loro istituzione è subordinata, oltre che al rispetto delle prescrizioni contenute dal decreto del Ministro dell’istruzione, dell’università e della ricerca 30 settembre 2011 e relativi allegati, anche all’acquisizione del parere favorevole del Comitato regionale di coordinamento, d’intesa con il Direttore dell’USR, che valuta la coerenza della proposta con il d.m. n. 249 del 2010 e con quelli di cui al citato d.m. 30 settembre 2011.</w:t>
      </w:r>
    </w:p>
    <w:p w:rsidR="00776BCD" w:rsidRPr="00DD5C8C" w:rsidRDefault="002E350C" w:rsidP="002511F2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 xml:space="preserve">Resta ferma la distinzione dei percorsi tra scuola dell’infanzia, scuola </w:t>
      </w:r>
      <w:r w:rsidR="00776BCD" w:rsidRPr="00DD5C8C">
        <w:rPr>
          <w:rFonts w:ascii="Times New Roman" w:hAnsi="Times New Roman" w:cs="Times New Roman"/>
          <w:sz w:val="24"/>
          <w:szCs w:val="24"/>
        </w:rPr>
        <w:t>primaria, scuola secondaria di primo</w:t>
      </w:r>
      <w:r w:rsidRPr="00DD5C8C">
        <w:rPr>
          <w:rFonts w:ascii="Times New Roman" w:hAnsi="Times New Roman" w:cs="Times New Roman"/>
          <w:sz w:val="24"/>
          <w:szCs w:val="24"/>
        </w:rPr>
        <w:t xml:space="preserve"> grado, scuola secondaria di </w:t>
      </w:r>
      <w:r w:rsidR="00776BCD" w:rsidRPr="00DD5C8C">
        <w:rPr>
          <w:rFonts w:ascii="Times New Roman" w:hAnsi="Times New Roman" w:cs="Times New Roman"/>
          <w:sz w:val="24"/>
          <w:szCs w:val="24"/>
        </w:rPr>
        <w:t>secondo</w:t>
      </w:r>
      <w:r w:rsidRPr="00DD5C8C">
        <w:rPr>
          <w:rFonts w:ascii="Times New Roman" w:hAnsi="Times New Roman" w:cs="Times New Roman"/>
          <w:sz w:val="24"/>
          <w:szCs w:val="24"/>
        </w:rPr>
        <w:t xml:space="preserve"> grado</w:t>
      </w:r>
      <w:r w:rsidR="00FC4EF9" w:rsidRPr="00DD5C8C">
        <w:rPr>
          <w:rFonts w:ascii="Times New Roman" w:hAnsi="Times New Roman" w:cs="Times New Roman"/>
          <w:sz w:val="24"/>
          <w:szCs w:val="24"/>
        </w:rPr>
        <w:t>.</w:t>
      </w:r>
    </w:p>
    <w:p w:rsidR="00776BCD" w:rsidRPr="00DD5C8C" w:rsidRDefault="00776BCD" w:rsidP="002511F2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Detti Comitati procedono ad allineare l’offerta formativa ai contingenti previsti dal decreto di cui all’articolo 5, comma 1, del decreto del Ministro dell’istruzione, dell’università e della ricerca 10 settembre 2010, n. 249 e alla suddivisione per gradi di scuola disposta dagli USR. La delibera è trasmessa alla Direzione generale al personale scolastico al fini della predisposizione del decreto del Ministro dell’istruzione, dell’università e della ricerca che autorizza l’attivazione dei suddetti percorsi.</w:t>
      </w:r>
    </w:p>
    <w:p w:rsidR="00776BCD" w:rsidRDefault="00776BCD" w:rsidP="002511F2">
      <w:pPr>
        <w:pStyle w:val="Paragrafoelenc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C8C" w:rsidRPr="00DD5C8C" w:rsidRDefault="00DD5C8C" w:rsidP="002511F2">
      <w:pPr>
        <w:pStyle w:val="Paragrafoelenc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BCD" w:rsidRPr="00DD5C8C" w:rsidRDefault="00776BCD" w:rsidP="002511F2">
      <w:pPr>
        <w:pStyle w:val="Paragrafoelenc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 xml:space="preserve">Art. </w:t>
      </w:r>
      <w:r w:rsidR="00DD5C8C" w:rsidRPr="00DD5C8C">
        <w:rPr>
          <w:rFonts w:ascii="Times New Roman" w:hAnsi="Times New Roman" w:cs="Times New Roman"/>
          <w:sz w:val="24"/>
          <w:szCs w:val="24"/>
        </w:rPr>
        <w:t>3</w:t>
      </w:r>
    </w:p>
    <w:p w:rsidR="005F64C4" w:rsidRPr="00DD5C8C" w:rsidRDefault="005F64C4" w:rsidP="002511F2">
      <w:pPr>
        <w:pStyle w:val="Paragrafoelenco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5C8C">
        <w:rPr>
          <w:rFonts w:ascii="Times New Roman" w:hAnsi="Times New Roman" w:cs="Times New Roman"/>
          <w:i/>
          <w:sz w:val="24"/>
          <w:szCs w:val="24"/>
        </w:rPr>
        <w:t>(Norme transitorie e finali)</w:t>
      </w:r>
    </w:p>
    <w:p w:rsidR="005F64C4" w:rsidRPr="00DD5C8C" w:rsidRDefault="005F64C4" w:rsidP="002511F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>I candidati inseriti nelle graduatorie di merito del I ciclo dei percorsi di specializzazione sul sostegno, ma non collocatisi in posizione utile</w:t>
      </w:r>
      <w:r w:rsidR="00776BCD" w:rsidRPr="00DD5C8C">
        <w:rPr>
          <w:rFonts w:ascii="Times New Roman" w:hAnsi="Times New Roman" w:cs="Times New Roman"/>
          <w:sz w:val="24"/>
          <w:szCs w:val="24"/>
        </w:rPr>
        <w:t xml:space="preserve"> ai fini della frequenza del relativo percorso</w:t>
      </w:r>
      <w:r w:rsidRPr="00DD5C8C">
        <w:rPr>
          <w:rFonts w:ascii="Times New Roman" w:hAnsi="Times New Roman" w:cs="Times New Roman"/>
          <w:sz w:val="24"/>
          <w:szCs w:val="24"/>
        </w:rPr>
        <w:t xml:space="preserve">, </w:t>
      </w:r>
      <w:r w:rsidR="00776BCD" w:rsidRPr="00DD5C8C">
        <w:rPr>
          <w:rFonts w:ascii="Times New Roman" w:hAnsi="Times New Roman" w:cs="Times New Roman"/>
          <w:sz w:val="24"/>
          <w:szCs w:val="24"/>
        </w:rPr>
        <w:t>sono ammessi</w:t>
      </w:r>
      <w:r w:rsidRPr="00DD5C8C">
        <w:rPr>
          <w:rFonts w:ascii="Times New Roman" w:hAnsi="Times New Roman" w:cs="Times New Roman"/>
          <w:sz w:val="24"/>
          <w:szCs w:val="24"/>
        </w:rPr>
        <w:t xml:space="preserve"> in sop</w:t>
      </w:r>
      <w:r w:rsidR="00776BCD" w:rsidRPr="00DD5C8C">
        <w:rPr>
          <w:rFonts w:ascii="Times New Roman" w:hAnsi="Times New Roman" w:cs="Times New Roman"/>
          <w:sz w:val="24"/>
          <w:szCs w:val="24"/>
        </w:rPr>
        <w:t>rannumero ai percorsi oggetto del presente decreto, istituiti ai sensi del decreto del Ministro dell’istruzione, dell’università e della ricerca 16 maggio 2014, n. 312</w:t>
      </w:r>
      <w:r w:rsidRPr="00DD5C8C">
        <w:rPr>
          <w:rFonts w:ascii="Times New Roman" w:hAnsi="Times New Roman" w:cs="Times New Roman"/>
          <w:sz w:val="24"/>
          <w:szCs w:val="24"/>
        </w:rPr>
        <w:t>.</w:t>
      </w:r>
    </w:p>
    <w:p w:rsidR="00776BCD" w:rsidRPr="00DD5C8C" w:rsidRDefault="009D7116" w:rsidP="002511F2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C8C">
        <w:rPr>
          <w:rFonts w:ascii="Times New Roman" w:hAnsi="Times New Roman" w:cs="Times New Roman"/>
          <w:sz w:val="24"/>
          <w:szCs w:val="24"/>
        </w:rPr>
        <w:t xml:space="preserve">I candidati che, per qualsiasi motivo, abbiano sospeso la frequenza dei percorsi di specializzazione per le attività di sostegno, possono a domanda riprendere la frequenza del percorso in un ciclo successivo, col riconoscimento dei crediti già acquisiti. </w:t>
      </w:r>
    </w:p>
    <w:p w:rsidR="009D7116" w:rsidRDefault="009D7116" w:rsidP="002511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8C" w:rsidRPr="00DD5C8C" w:rsidRDefault="00DD5C8C" w:rsidP="002511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C8C" w:rsidRPr="00DD5C8C" w:rsidRDefault="00DD5C8C" w:rsidP="002511F2">
      <w:pPr>
        <w:spacing w:after="0" w:line="240" w:lineRule="auto"/>
        <w:ind w:left="7082"/>
        <w:jc w:val="both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     </w:t>
      </w:r>
      <w:r w:rsidRPr="00DD5C8C">
        <w:rPr>
          <w:rFonts w:ascii="Times New Roman" w:hAnsi="Times New Roman" w:cs="Times New Roman"/>
          <w:smallCaps/>
          <w:sz w:val="24"/>
          <w:szCs w:val="24"/>
        </w:rPr>
        <w:t>Il Ministro</w:t>
      </w:r>
    </w:p>
    <w:p w:rsidR="00DD5C8C" w:rsidRPr="00DD5C8C" w:rsidRDefault="00DD5C8C" w:rsidP="002511F2">
      <w:pPr>
        <w:spacing w:after="0" w:line="240" w:lineRule="auto"/>
        <w:ind w:left="708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5C8C">
        <w:rPr>
          <w:rFonts w:ascii="Times New Roman" w:hAnsi="Times New Roman" w:cs="Times New Roman"/>
          <w:i/>
          <w:sz w:val="24"/>
          <w:szCs w:val="24"/>
        </w:rPr>
        <w:t>Stefania Giannini</w:t>
      </w:r>
    </w:p>
    <w:p w:rsidR="002B4619" w:rsidRPr="00DD5C8C" w:rsidRDefault="002B4619" w:rsidP="002511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B4619" w:rsidRPr="00DD5C8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74" w:rsidRDefault="00851D74" w:rsidP="002005ED">
      <w:pPr>
        <w:spacing w:after="0" w:line="240" w:lineRule="auto"/>
      </w:pPr>
      <w:r>
        <w:separator/>
      </w:r>
    </w:p>
  </w:endnote>
  <w:endnote w:type="continuationSeparator" w:id="0">
    <w:p w:rsidR="00851D74" w:rsidRDefault="00851D74" w:rsidP="0020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398048816"/>
      <w:docPartObj>
        <w:docPartGallery w:val="Page Numbers (Bottom of Page)"/>
        <w:docPartUnique/>
      </w:docPartObj>
    </w:sdtPr>
    <w:sdtEndPr/>
    <w:sdtContent>
      <w:p w:rsidR="00DD5C8C" w:rsidRPr="00DD5C8C" w:rsidRDefault="00DD5C8C">
        <w:pPr>
          <w:pStyle w:val="Pidipagina"/>
          <w:jc w:val="right"/>
          <w:rPr>
            <w:rFonts w:ascii="Times New Roman" w:hAnsi="Times New Roman" w:cs="Times New Roman"/>
          </w:rPr>
        </w:pPr>
        <w:r w:rsidRPr="00DD5C8C">
          <w:rPr>
            <w:rFonts w:ascii="Times New Roman" w:hAnsi="Times New Roman" w:cs="Times New Roman"/>
          </w:rPr>
          <w:fldChar w:fldCharType="begin"/>
        </w:r>
        <w:r w:rsidRPr="00DD5C8C">
          <w:rPr>
            <w:rFonts w:ascii="Times New Roman" w:hAnsi="Times New Roman" w:cs="Times New Roman"/>
          </w:rPr>
          <w:instrText>PAGE   \* MERGEFORMAT</w:instrText>
        </w:r>
        <w:r w:rsidRPr="00DD5C8C">
          <w:rPr>
            <w:rFonts w:ascii="Times New Roman" w:hAnsi="Times New Roman" w:cs="Times New Roman"/>
          </w:rPr>
          <w:fldChar w:fldCharType="separate"/>
        </w:r>
        <w:r w:rsidR="00405449">
          <w:rPr>
            <w:rFonts w:ascii="Times New Roman" w:hAnsi="Times New Roman" w:cs="Times New Roman"/>
            <w:noProof/>
          </w:rPr>
          <w:t>3</w:t>
        </w:r>
        <w:r w:rsidRPr="00DD5C8C">
          <w:rPr>
            <w:rFonts w:ascii="Times New Roman" w:hAnsi="Times New Roman" w:cs="Times New Roman"/>
          </w:rPr>
          <w:fldChar w:fldCharType="end"/>
        </w:r>
      </w:p>
    </w:sdtContent>
  </w:sdt>
  <w:p w:rsidR="00DD5C8C" w:rsidRDefault="00DD5C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74" w:rsidRDefault="00851D74" w:rsidP="002005ED">
      <w:pPr>
        <w:spacing w:after="0" w:line="240" w:lineRule="auto"/>
      </w:pPr>
      <w:r>
        <w:separator/>
      </w:r>
    </w:p>
  </w:footnote>
  <w:footnote w:type="continuationSeparator" w:id="0">
    <w:p w:rsidR="00851D74" w:rsidRDefault="00851D74" w:rsidP="0020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ED" w:rsidRDefault="002005ED" w:rsidP="002005ED">
    <w:pPr>
      <w:pStyle w:val="Intestazione"/>
      <w:tabs>
        <w:tab w:val="left" w:pos="708"/>
      </w:tabs>
      <w:jc w:val="center"/>
    </w:pPr>
    <w:r>
      <w:rPr>
        <w:noProof/>
        <w:lang w:eastAsia="it-IT"/>
      </w:rPr>
      <w:drawing>
        <wp:inline distT="0" distB="0" distL="0" distR="0">
          <wp:extent cx="657225" cy="733425"/>
          <wp:effectExtent l="0" t="0" r="9525" b="9525"/>
          <wp:docPr id="1" name="Immagine 1" descr="http://intranet.miur.it/servizi/download/logos/emblema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.miur.it/servizi/download/logos/emblema_colo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5ED" w:rsidRDefault="002005ED" w:rsidP="002005ED">
    <w:pPr>
      <w:pStyle w:val="Intestazione"/>
      <w:ind w:right="72"/>
      <w:jc w:val="center"/>
      <w:rPr>
        <w:rFonts w:ascii="Kunstler Script" w:hAnsi="Kunstler Script"/>
        <w:sz w:val="60"/>
        <w:szCs w:val="60"/>
      </w:rPr>
    </w:pPr>
    <w:r>
      <w:rPr>
        <w:rFonts w:ascii="Kunstler Script" w:hAnsi="Kunstler Script"/>
        <w:sz w:val="60"/>
        <w:szCs w:val="60"/>
      </w:rPr>
      <w:t>Il Ministro dell’istruzione, dell’università e della ricerca</w:t>
    </w:r>
  </w:p>
  <w:p w:rsidR="002005ED" w:rsidRDefault="002005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72A2"/>
    <w:multiLevelType w:val="hybridMultilevel"/>
    <w:tmpl w:val="EA1E44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D5255"/>
    <w:multiLevelType w:val="hybridMultilevel"/>
    <w:tmpl w:val="832A8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074E5"/>
    <w:multiLevelType w:val="hybridMultilevel"/>
    <w:tmpl w:val="832A86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08"/>
    <w:rsid w:val="00085885"/>
    <w:rsid w:val="000C6CD7"/>
    <w:rsid w:val="001C20EF"/>
    <w:rsid w:val="002005ED"/>
    <w:rsid w:val="00210822"/>
    <w:rsid w:val="002451E0"/>
    <w:rsid w:val="002511F2"/>
    <w:rsid w:val="002B4619"/>
    <w:rsid w:val="002C23AE"/>
    <w:rsid w:val="002E350C"/>
    <w:rsid w:val="003855F4"/>
    <w:rsid w:val="003E265D"/>
    <w:rsid w:val="00405449"/>
    <w:rsid w:val="00405541"/>
    <w:rsid w:val="00503721"/>
    <w:rsid w:val="00532027"/>
    <w:rsid w:val="005F64C4"/>
    <w:rsid w:val="00631108"/>
    <w:rsid w:val="006E2A3A"/>
    <w:rsid w:val="00770716"/>
    <w:rsid w:val="00776BCD"/>
    <w:rsid w:val="007A4CAF"/>
    <w:rsid w:val="007C31C0"/>
    <w:rsid w:val="00810C45"/>
    <w:rsid w:val="00851D74"/>
    <w:rsid w:val="008A5EDE"/>
    <w:rsid w:val="008B5AF2"/>
    <w:rsid w:val="009824D6"/>
    <w:rsid w:val="009D7116"/>
    <w:rsid w:val="00B760E9"/>
    <w:rsid w:val="00B956CF"/>
    <w:rsid w:val="00C959E0"/>
    <w:rsid w:val="00CF6AEC"/>
    <w:rsid w:val="00DD5C8C"/>
    <w:rsid w:val="00DD7114"/>
    <w:rsid w:val="00EB4BA9"/>
    <w:rsid w:val="00EF0352"/>
    <w:rsid w:val="00F250F8"/>
    <w:rsid w:val="00F57E15"/>
    <w:rsid w:val="00FC4EF9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B461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2005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005ED"/>
  </w:style>
  <w:style w:type="paragraph" w:styleId="Pidipagina">
    <w:name w:val="footer"/>
    <w:basedOn w:val="Normale"/>
    <w:link w:val="PidipaginaCarattere"/>
    <w:uiPriority w:val="99"/>
    <w:unhideWhenUsed/>
    <w:rsid w:val="002005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05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2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B461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2005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2005ED"/>
  </w:style>
  <w:style w:type="paragraph" w:styleId="Pidipagina">
    <w:name w:val="footer"/>
    <w:basedOn w:val="Normale"/>
    <w:link w:val="PidipaginaCarattere"/>
    <w:uiPriority w:val="99"/>
    <w:unhideWhenUsed/>
    <w:rsid w:val="002005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05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intranet.miur.it/servizi/download/logos/emblema_color.jp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delli\Decreto%20ministr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9DEA-F07F-4739-89D3-5715894D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Decreto ministro</Template>
  <TotalTime>1</TotalTime>
  <Pages>3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dcterms:created xsi:type="dcterms:W3CDTF">2014-11-11T13:03:00Z</dcterms:created>
  <dcterms:modified xsi:type="dcterms:W3CDTF">2014-11-11T13:03:00Z</dcterms:modified>
</cp:coreProperties>
</file>